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4B" w:rsidRPr="00BE484B" w:rsidRDefault="00BE484B" w:rsidP="00BE484B">
      <w:pPr>
        <w:spacing w:after="240"/>
        <w:jc w:val="center"/>
        <w:rPr>
          <w:b/>
          <w:bCs/>
          <w:i/>
          <w:sz w:val="28"/>
          <w:szCs w:val="28"/>
        </w:rPr>
      </w:pPr>
      <w:r w:rsidRPr="00BE484B">
        <w:rPr>
          <w:b/>
          <w:bCs/>
          <w:i/>
          <w:sz w:val="28"/>
          <w:szCs w:val="28"/>
        </w:rPr>
        <w:t>Консультация для родителей дошкольников</w:t>
      </w:r>
    </w:p>
    <w:p w:rsidR="00BE484B" w:rsidRPr="00BE484B" w:rsidRDefault="00BE484B" w:rsidP="00BE484B">
      <w:pPr>
        <w:spacing w:after="240"/>
        <w:jc w:val="center"/>
        <w:rPr>
          <w:b/>
          <w:bCs/>
          <w:color w:val="0070C0"/>
          <w:sz w:val="28"/>
          <w:szCs w:val="28"/>
        </w:rPr>
      </w:pPr>
      <w:r w:rsidRPr="00BE484B">
        <w:rPr>
          <w:b/>
          <w:bCs/>
          <w:color w:val="0070C0"/>
          <w:sz w:val="28"/>
          <w:szCs w:val="28"/>
        </w:rPr>
        <w:t>Физическая готовность детей к обучению в школе</w:t>
      </w:r>
    </w:p>
    <w:p w:rsidR="00BE484B" w:rsidRDefault="00BE484B" w:rsidP="00BE484B">
      <w:pPr>
        <w:spacing w:after="240"/>
        <w:jc w:val="center"/>
        <w:rPr>
          <w:rFonts w:ascii="Arial" w:hAnsi="Arial" w:cs="Arial"/>
          <w:noProof/>
          <w:color w:val="2D4200"/>
          <w:sz w:val="20"/>
          <w:szCs w:val="20"/>
        </w:rPr>
      </w:pPr>
    </w:p>
    <w:p w:rsidR="00F1616F" w:rsidRDefault="00BE484B" w:rsidP="00BE484B">
      <w:pPr>
        <w:jc w:val="center"/>
      </w:pPr>
      <w:r>
        <w:rPr>
          <w:rFonts w:ascii="Arial" w:hAnsi="Arial" w:cs="Arial"/>
          <w:noProof/>
          <w:color w:val="2D4200"/>
          <w:sz w:val="20"/>
          <w:szCs w:val="20"/>
        </w:rPr>
        <w:drawing>
          <wp:inline distT="0" distB="0" distL="0" distR="0" wp14:anchorId="09059988" wp14:editId="36DFB426">
            <wp:extent cx="5791200" cy="3532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861" cy="354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84B" w:rsidRDefault="00BE484B" w:rsidP="00BE484B">
      <w:pPr>
        <w:jc w:val="center"/>
      </w:pPr>
    </w:p>
    <w:p w:rsidR="00BE484B" w:rsidRDefault="00BE484B" w:rsidP="00BE484B">
      <w:pPr>
        <w:spacing w:after="240"/>
        <w:jc w:val="both"/>
        <w:rPr>
          <w:rStyle w:val="apple-converted-space"/>
          <w:color w:val="2D4200"/>
          <w:sz w:val="28"/>
          <w:szCs w:val="28"/>
        </w:rPr>
      </w:pPr>
      <w:r>
        <w:rPr>
          <w:color w:val="2D4200"/>
          <w:sz w:val="28"/>
          <w:szCs w:val="28"/>
        </w:rPr>
        <w:t xml:space="preserve">        </w:t>
      </w:r>
      <w:r w:rsidRPr="00BE484B">
        <w:rPr>
          <w:color w:val="2D4200"/>
          <w:sz w:val="28"/>
          <w:szCs w:val="28"/>
        </w:rPr>
        <w:t>Необходимо определить готовность ребенка до поступления в школу. Доказано, что у неготовых к систематическому обучению, труднее и длительнее проходит адаптация, приспособление к школе, у таких детей в большем числе случаев отмечается нарушение состояния здоровья.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>
        <w:rPr>
          <w:color w:val="2D4200"/>
          <w:sz w:val="28"/>
          <w:szCs w:val="28"/>
        </w:rPr>
        <w:br/>
        <w:t>Специалисты отмечают</w:t>
      </w:r>
      <w:r w:rsidRPr="00BE484B">
        <w:rPr>
          <w:color w:val="2D4200"/>
          <w:sz w:val="28"/>
          <w:szCs w:val="28"/>
        </w:rPr>
        <w:t>, что среди современных детей седьмого года жизни «школьно-незрелые» составляют более 40%, что в 3 раза превышает количество таких детей в 70-е годы и в 2 раза больше, чем в 80-е годы. Они связывают такое положение с ухудшением состояния здоровья детей, снижением их функциональных возможностей. Настораживает и тот факт, что среди «школьно-незрелых детей седьмого года жизни мальчиков почти в 2 раза больше, чем девочек.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 w:rsidRPr="00BE484B">
        <w:rPr>
          <w:color w:val="2D4200"/>
          <w:sz w:val="28"/>
          <w:szCs w:val="28"/>
        </w:rPr>
        <w:t>Справедливости ради следует сказать о том, что среди детей с различными формами «школьной незрелости» больше детей, не посещающих ДОУ. Исследования показали, что ДОУ помогает нивелировать часть неблагоприятных социальных факторов, определяющих развитие здоровья детей. Это говорит о том, что дошкольное воспитание не утратило свою значимость.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 w:rsidRPr="00BE484B">
        <w:rPr>
          <w:color w:val="2D4200"/>
          <w:sz w:val="28"/>
          <w:szCs w:val="28"/>
        </w:rPr>
        <w:br/>
      </w:r>
      <w:r>
        <w:rPr>
          <w:color w:val="2D4200"/>
          <w:sz w:val="28"/>
          <w:szCs w:val="28"/>
        </w:rPr>
        <w:t xml:space="preserve">     </w:t>
      </w:r>
      <w:r w:rsidRPr="00BE484B">
        <w:rPr>
          <w:color w:val="2D4200"/>
          <w:sz w:val="28"/>
          <w:szCs w:val="28"/>
        </w:rPr>
        <w:t>Под физической подготовленностью детей к школе понимается соответствие развития движений требованиям программы воспитания и обучения.</w:t>
      </w:r>
      <w:r w:rsidRPr="00BE484B">
        <w:rPr>
          <w:rStyle w:val="apple-converted-space"/>
          <w:color w:val="2D4200"/>
          <w:sz w:val="28"/>
          <w:szCs w:val="28"/>
        </w:rPr>
        <w:t> </w:t>
      </w:r>
    </w:p>
    <w:p w:rsidR="00BE484B" w:rsidRPr="00BE484B" w:rsidRDefault="00BE484B" w:rsidP="00BE484B">
      <w:pPr>
        <w:spacing w:after="240"/>
        <w:jc w:val="center"/>
        <w:rPr>
          <w:rStyle w:val="apple-converted-space"/>
          <w:i/>
          <w:iCs/>
          <w:color w:val="0070C0"/>
          <w:sz w:val="28"/>
          <w:szCs w:val="28"/>
        </w:rPr>
      </w:pPr>
      <w:r w:rsidRPr="00BE484B">
        <w:rPr>
          <w:i/>
          <w:iCs/>
          <w:color w:val="0070C0"/>
          <w:sz w:val="28"/>
          <w:szCs w:val="28"/>
        </w:rPr>
        <w:t>Задания, направленные на выявление физической подготовленности детей</w:t>
      </w:r>
      <w:r w:rsidRPr="00BE484B">
        <w:rPr>
          <w:rStyle w:val="apple-converted-space"/>
          <w:i/>
          <w:iCs/>
          <w:color w:val="0070C0"/>
          <w:sz w:val="28"/>
          <w:szCs w:val="28"/>
        </w:rPr>
        <w:t> </w:t>
      </w:r>
      <w:r w:rsidRPr="00BE484B">
        <w:rPr>
          <w:i/>
          <w:iCs/>
          <w:color w:val="0070C0"/>
          <w:sz w:val="28"/>
          <w:szCs w:val="28"/>
        </w:rPr>
        <w:br/>
        <w:t>к обучению в школе.</w:t>
      </w:r>
      <w:r w:rsidRPr="00BE484B">
        <w:rPr>
          <w:rStyle w:val="apple-converted-space"/>
          <w:i/>
          <w:iCs/>
          <w:color w:val="0070C0"/>
          <w:sz w:val="28"/>
          <w:szCs w:val="28"/>
        </w:rPr>
        <w:t> </w:t>
      </w:r>
    </w:p>
    <w:p w:rsidR="00BE484B" w:rsidRPr="00BE484B" w:rsidRDefault="00BE484B" w:rsidP="00BE484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lastRenderedPageBreak/>
        <w:t>Выявление показателей правильности развития основных движений по Е.Г. Леви-</w:t>
      </w:r>
      <w:proofErr w:type="spellStart"/>
      <w:r w:rsidRPr="00BE484B">
        <w:rPr>
          <w:color w:val="2D4200"/>
          <w:sz w:val="28"/>
          <w:szCs w:val="28"/>
        </w:rPr>
        <w:t>Гориновской</w:t>
      </w:r>
      <w:proofErr w:type="spellEnd"/>
      <w:r w:rsidRPr="00BE484B">
        <w:rPr>
          <w:color w:val="2D4200"/>
          <w:sz w:val="28"/>
          <w:szCs w:val="28"/>
        </w:rPr>
        <w:t>. Овладение детьми школой мяча: бросание, ловля, забрасывание мяча в баскетбольную корзину, ведение мяча, различные манипуляции с мячом.  </w:t>
      </w:r>
    </w:p>
    <w:p w:rsidR="00BE484B" w:rsidRPr="00BE484B" w:rsidRDefault="00BE484B" w:rsidP="00BE484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>«Челночный бег» - 10м. Х 3 с. </w:t>
      </w:r>
    </w:p>
    <w:p w:rsidR="00BE484B" w:rsidRPr="00BE484B" w:rsidRDefault="00BE484B" w:rsidP="00BE484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 xml:space="preserve">Бег с высокого старта - </w:t>
      </w:r>
      <w:smartTag w:uri="urn:schemas-microsoft-com:office:smarttags" w:element="metricconverter">
        <w:smartTagPr>
          <w:attr w:name="ProductID" w:val="10 м"/>
        </w:smartTagPr>
        <w:r w:rsidRPr="00BE484B">
          <w:rPr>
            <w:color w:val="2D4200"/>
            <w:sz w:val="28"/>
            <w:szCs w:val="28"/>
          </w:rPr>
          <w:t>10 м</w:t>
        </w:r>
      </w:smartTag>
      <w:r w:rsidRPr="00BE484B">
        <w:rPr>
          <w:color w:val="2D4200"/>
          <w:sz w:val="28"/>
          <w:szCs w:val="28"/>
        </w:rPr>
        <w:t>. </w:t>
      </w:r>
    </w:p>
    <w:p w:rsidR="00BE484B" w:rsidRPr="00BE484B" w:rsidRDefault="00BE484B" w:rsidP="00BE484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 xml:space="preserve">Измерение способности удерживать равновесие. Модифицированная поза М.И. </w:t>
      </w:r>
      <w:proofErr w:type="spellStart"/>
      <w:r w:rsidRPr="00BE484B">
        <w:rPr>
          <w:color w:val="2D4200"/>
          <w:sz w:val="28"/>
          <w:szCs w:val="28"/>
        </w:rPr>
        <w:t>Ромберга</w:t>
      </w:r>
      <w:proofErr w:type="spellEnd"/>
      <w:r w:rsidRPr="00BE484B">
        <w:rPr>
          <w:color w:val="2D4200"/>
          <w:sz w:val="28"/>
          <w:szCs w:val="28"/>
        </w:rPr>
        <w:t>: стойка на полу, носок сзади стоящей ноги вплотную примыкает к пятке впереди стоящей ноги; стопы расположены на прямой линии, вес тела равномерно распределен на обе ноги; руки опущены вниз, туловище прямо, смотреть вперед (взгляд ребенка фиксирован). </w:t>
      </w:r>
    </w:p>
    <w:p w:rsidR="00BE484B" w:rsidRPr="00BE484B" w:rsidRDefault="00BE484B" w:rsidP="00BE484B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>Простоять в позе руки по швам 15 секунд; </w:t>
      </w:r>
    </w:p>
    <w:p w:rsidR="00BE484B" w:rsidRPr="00BE484B" w:rsidRDefault="00BE484B" w:rsidP="00BE484B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>Вытянуть руки вперед, простоять еще 5 секунд; </w:t>
      </w:r>
    </w:p>
    <w:p w:rsidR="00BE484B" w:rsidRPr="00BE484B" w:rsidRDefault="00BE484B" w:rsidP="00BE484B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>Закрыть глаза и простоять в данной позе еще 15 секунд. </w:t>
      </w:r>
    </w:p>
    <w:p w:rsidR="00BE484B" w:rsidRPr="00BE484B" w:rsidRDefault="00BE484B" w:rsidP="00BE484B">
      <w:pPr>
        <w:rPr>
          <w:color w:val="0070C0"/>
          <w:sz w:val="28"/>
          <w:szCs w:val="28"/>
        </w:rPr>
      </w:pPr>
      <w:r w:rsidRPr="00BE484B">
        <w:rPr>
          <w:color w:val="2D4200"/>
          <w:sz w:val="28"/>
          <w:szCs w:val="28"/>
        </w:rPr>
        <w:t>Ошибкой и прекращением выполнения заданий считается схождение с места, поворот, переступание, смещение пятки или носка с линии, сильные покачивания из стороны в сторону.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 w:rsidRPr="00BE484B">
        <w:rPr>
          <w:color w:val="2D4200"/>
          <w:sz w:val="28"/>
          <w:szCs w:val="28"/>
        </w:rPr>
        <w:br/>
      </w:r>
      <w:r w:rsidRPr="00BE484B">
        <w:rPr>
          <w:b/>
          <w:bCs/>
          <w:i/>
          <w:iCs/>
          <w:color w:val="2D4200"/>
          <w:sz w:val="28"/>
          <w:szCs w:val="28"/>
        </w:rPr>
        <w:br/>
      </w:r>
      <w:r w:rsidRPr="00BE484B">
        <w:rPr>
          <w:b/>
          <w:bCs/>
          <w:i/>
          <w:iCs/>
          <w:color w:val="0070C0"/>
          <w:sz w:val="28"/>
          <w:szCs w:val="28"/>
        </w:rPr>
        <w:t>Оценка координации движений. Выполнение заданий во время ходьбы:</w:t>
      </w:r>
      <w:r w:rsidRPr="00BE484B">
        <w:rPr>
          <w:rStyle w:val="apple-converted-space"/>
          <w:b/>
          <w:bCs/>
          <w:i/>
          <w:iCs/>
          <w:color w:val="0070C0"/>
          <w:sz w:val="28"/>
          <w:szCs w:val="28"/>
        </w:rPr>
        <w:t> </w:t>
      </w:r>
    </w:p>
    <w:p w:rsidR="00BE484B" w:rsidRPr="00BE484B" w:rsidRDefault="00BE484B" w:rsidP="00BE484B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 xml:space="preserve">Шаг левой ногой, правая рука вверх, шаг правой ногой, левая рука вверх, правая на плечо, левая на плечо, правая рука вниз, левая рука вниз и </w:t>
      </w:r>
      <w:proofErr w:type="spellStart"/>
      <w:proofErr w:type="gramStart"/>
      <w:r w:rsidRPr="00BE484B">
        <w:rPr>
          <w:color w:val="2D4200"/>
          <w:sz w:val="28"/>
          <w:szCs w:val="28"/>
        </w:rPr>
        <w:t>т.д</w:t>
      </w:r>
      <w:proofErr w:type="spellEnd"/>
      <w:r w:rsidRPr="00BE484B">
        <w:rPr>
          <w:color w:val="2D4200"/>
          <w:sz w:val="28"/>
          <w:szCs w:val="28"/>
        </w:rPr>
        <w:t xml:space="preserve"> .</w:t>
      </w:r>
      <w:proofErr w:type="gramEnd"/>
    </w:p>
    <w:p w:rsidR="00BE484B" w:rsidRPr="00BE484B" w:rsidRDefault="00BE484B" w:rsidP="00BE484B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t>Во время ходьбы перекрестная смена положений рук: руки в сторону, вверх, на плечи, на пояс.</w:t>
      </w:r>
      <w:bookmarkStart w:id="0" w:name="_GoBack"/>
      <w:bookmarkEnd w:id="0"/>
    </w:p>
    <w:p w:rsidR="00BE484B" w:rsidRPr="00BE484B" w:rsidRDefault="00BE484B" w:rsidP="00BE484B">
      <w:pPr>
        <w:spacing w:after="240"/>
        <w:rPr>
          <w:color w:val="2D4200"/>
          <w:sz w:val="28"/>
          <w:szCs w:val="28"/>
        </w:rPr>
      </w:pPr>
      <w:r w:rsidRPr="00BE484B">
        <w:rPr>
          <w:color w:val="2D4200"/>
          <w:sz w:val="28"/>
          <w:szCs w:val="28"/>
        </w:rPr>
        <w:br/>
      </w:r>
      <w:r w:rsidRPr="00BE484B">
        <w:rPr>
          <w:b/>
          <w:bCs/>
          <w:color w:val="0070C0"/>
          <w:sz w:val="28"/>
          <w:szCs w:val="28"/>
        </w:rPr>
        <w:t>Подвижные игры.</w:t>
      </w:r>
      <w:r w:rsidRPr="00BE484B">
        <w:rPr>
          <w:rStyle w:val="apple-converted-space"/>
          <w:b/>
          <w:bCs/>
          <w:color w:val="0070C0"/>
          <w:sz w:val="28"/>
          <w:szCs w:val="28"/>
        </w:rPr>
        <w:t> </w:t>
      </w:r>
      <w:r w:rsidRPr="00BE484B">
        <w:rPr>
          <w:color w:val="0070C0"/>
          <w:sz w:val="28"/>
          <w:szCs w:val="28"/>
        </w:rPr>
        <w:br/>
      </w:r>
      <w:r w:rsidRPr="00BE484B">
        <w:rPr>
          <w:color w:val="2D4200"/>
          <w:sz w:val="28"/>
          <w:szCs w:val="28"/>
        </w:rPr>
        <w:t>Выяснить знание детьми названий подвижных игр, их количество.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 w:rsidRPr="00BE484B">
        <w:rPr>
          <w:color w:val="2D4200"/>
          <w:sz w:val="28"/>
          <w:szCs w:val="28"/>
        </w:rPr>
        <w:br/>
        <w:t>Умение детей организовывать знакомые им подвижные игры.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 w:rsidRPr="00BE484B">
        <w:rPr>
          <w:color w:val="2D4200"/>
          <w:sz w:val="28"/>
          <w:szCs w:val="28"/>
        </w:rPr>
        <w:br/>
        <w:t>Объяснять их.</w:t>
      </w:r>
      <w:r w:rsidRPr="00BE484B">
        <w:rPr>
          <w:rStyle w:val="apple-converted-space"/>
          <w:color w:val="2D4200"/>
          <w:sz w:val="28"/>
          <w:szCs w:val="28"/>
        </w:rPr>
        <w:t> </w:t>
      </w:r>
      <w:r w:rsidRPr="00BE484B">
        <w:rPr>
          <w:color w:val="2D4200"/>
          <w:sz w:val="28"/>
          <w:szCs w:val="28"/>
        </w:rPr>
        <w:br/>
        <w:t>Умение придумывать варианты подвижных игр.</w:t>
      </w:r>
      <w:r w:rsidRPr="00BE484B">
        <w:rPr>
          <w:rStyle w:val="apple-converted-space"/>
          <w:color w:val="2D4200"/>
          <w:sz w:val="28"/>
          <w:szCs w:val="28"/>
        </w:rPr>
        <w:t> </w:t>
      </w:r>
    </w:p>
    <w:p w:rsidR="00BE484B" w:rsidRPr="00BE484B" w:rsidRDefault="00BE484B" w:rsidP="00BE484B">
      <w:pPr>
        <w:spacing w:after="240"/>
        <w:jc w:val="center"/>
        <w:rPr>
          <w:color w:val="2D4200"/>
          <w:sz w:val="28"/>
          <w:szCs w:val="28"/>
        </w:rPr>
      </w:pPr>
    </w:p>
    <w:p w:rsidR="00BE484B" w:rsidRDefault="00BE484B" w:rsidP="00BE484B">
      <w:pPr>
        <w:jc w:val="both"/>
      </w:pPr>
    </w:p>
    <w:sectPr w:rsidR="00BE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2782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C706A"/>
    <w:multiLevelType w:val="multilevel"/>
    <w:tmpl w:val="CD60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85285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80"/>
    <w:rsid w:val="00BE484B"/>
    <w:rsid w:val="00E15080"/>
    <w:rsid w:val="00F1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5C49CC"/>
  <w15:chartTrackingRefBased/>
  <w15:docId w15:val="{2648C4A9-75AA-45C7-AD02-5D9D5B9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2024-03-19T16:07:00Z</dcterms:created>
  <dcterms:modified xsi:type="dcterms:W3CDTF">2024-03-19T16:15:00Z</dcterms:modified>
</cp:coreProperties>
</file>